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214</w:t>
      </w:r>
    </w:p>
    <w:p>
      <w:r>
        <w:t>Bundesgericht (BGE), 1991-09-13, DE</w:t>
      </w:r>
    </w:p>
    <w:p>
      <w:r>
        <w:rPr>
          <w:b/>
        </w:rPr>
        <w:t xml:space="preserve">Quelle: </w:t>
      </w:r>
      <w:r>
        <w:t>https://mcp.opencaselaw.ch/entscheid/bge_117 V 214</w:t>
      </w:r>
    </w:p>
    <w:p>
      <w:r>
        <w:t>FR: ATF 117 V 214</w:t>
      </w:r>
    </w:p>
    <w:p>
      <w:r>
        <w:t>IT: DTF 117 V 214</w:t>
      </w:r>
    </w:p>
    <w:p>
      <w:pPr>
        <w:pStyle w:val="Heading2"/>
      </w:pPr>
      <w:r>
        <w:t>Regeste</w:t>
      </w:r>
    </w:p>
    <w:p>
      <w:r>
        <w:t>Regeste Art. 89bis ZGB, Art. 73 BVG. Zur Abgrenzung zwischen Versicherungseinrichtungen und Einrichtungen ohne Versicherungscharakter (sog. Fürsorgefonds oder patronale Wohlfahrtsfonds). Art. 331a-c OR. - Die in diesen Bestimmungen geregelte Freizügigkeitsordnung gilt generell für den erweiterten (überobligatorischen) Aufgabenbereich aller Vorsorgeeinrichtungen. - Auf eine Abrede im Sinne von Art. 331b Abs. 2 OR ist insbesondere zu schliessen, wenn das Reglement den Arbeitnehmern einen Anspruch auf Leistungen im Vorsorgefall einräumt.</w:t>
      </w:r>
    </w:p>
    <w:p>
      <w:pPr>
        <w:pStyle w:val="Heading2"/>
      </w:pPr>
      <w:r>
        <w:t>Erwägungen</w:t>
      </w:r>
    </w:p>
    <w:p>
      <w:r>
        <w:rPr>
          <w:b/>
        </w:rPr>
        <w:t>E. 1</w:t>
      </w:r>
    </w:p>
    <w:p>
      <w:r>
        <w:t>a) Nach Art. 73 BVG bezeichnet jeder Kanton als letzte kantonale Instanz ein Gericht, das über die Streitigkeiten zwischen Vorsorgeeinrichtungen, Arbeitgebern und Anspruchsberechtigten entscheidet (Abs. 1). Die Entscheide der kantonalen Gerichte können auf dem Wege der Verwaltungsgerichtsbeschwerde beim Eidg. Versicherungsgericht angefochten werden (Abs. 4). Diese Verfahrensordnung ist nicht nur im BVG-Obligatoriumsbereich anwendbar, sondern insbesondere auch dann, wenn eine Streitigkeit vorliegt, an der eine nicht registrierte Vorsorgeeinrichtung beteiligt ist, die in die Rechtsform der Stiftung gekleidet und im Gebiet der beruflichen Vorsorge im engeren Sinn tätig ist, somit ausserobligatorisch die Risiken Alter, Tod oder Invalidität versichert ( Art. 89bis Abs. 6 ZGB ; BGE 116 V 220 Erw. 1a, BGE 115 V 247 Erw. 1a, BGE 114 V 104 Erw. 1a, BGE 112 V 358 Erw. 1a; MEYER, Die Rechtswege nach dem BVG, in: ZSR 106/1987 I S. 626). b) Ob das Eidg. Versicherungsgericht zur Beurteilung der Verwaltungsgerichtsbeschwerde zuständig ist, hängt davon ab, ob dem Beschwerdeführer als Destinatär der Stiftung Pensionierungsfonds der H. AG ein Rechtsanspruch auf Leistungen zusteht. Denn da die Arbeitnehmer unbestrittenermassen keine Beiträge leisten, steht den Destinatären gemäss dem hier anwendbaren Art. 89bis Abs. 5 ZGB (BRÜHWILER, Die betriebliche Personalvorsorge in der Schweiz, S. 444; RIEMER, Das Recht der beruflichen Vorsorge in der Schweiz, S. 101) der Klageweg nur dann offen, wenn ihnen das Reglement einen Rechtsanspruch einräumt. Im vorliegenden Fall hat der Beschwerdeführer laut Ziff. 3 der Zusatzrenten-Ordnung der Stiftung einen betragsmässig bestimmten Anspruch auf Leistungen bei Eintritt des versicherten Risikos. Es liegt nicht im Ermessen der Stiftungsverwaltung, ob ihm eine Leistung erbracht werden soll oder nicht. Somit handelt es sich bei der BGE 117 V 214 S. 217 Stiftung Pensionierungsfonds nicht um einen patronalen Wohlfahrtsfonds, welcher Leistungen ohne festen Plan nach Ermessen der Stiftungsverwaltung (ohne Beiträge der Destinatäre und auch ohne Rechtsansprüche derselben) in besonderen Fällen erbringt (RIEMER, a.a.O., S. 33; RIEMER, Berner Kommentar, Die Stiftungen, Systematischer Teil, S. 211, N. 327; SCHWEIZER, Rechtliche Grundlagen der Anwartschaft auf eine Stiftungsleistung in der beruflichen Vorsorge, S. 41; BRÜHWILER, a.a.O., S. 445). Vielmehr ist die Stiftung Pensionierungsfonds eine Versicherungseinrichtung, welche die Destinatäre planmässig durch normierte Leistungen gegen die wirtschaftlichen Folgen eines versicherbaren Risikos schützt (RIEMER, Berufliche Vorsorge, S. 53; Berner Kommentar, S. 210, N. 323). Am Charakter einer Versicherungseinrichtung ändert nichts, dass sie - wie im vorliegenden Fall - allein vom Arbeitgeber finanziert wird (vgl. RIEMER, Berufliche Vorsorge, S. 53; SCHWEIZER, a.a.O., S. 81). c) Die Einwendungen der Beschwerdegegnerin, die darauf besteht, als patronaler Wohlfahrtsfonds qualifiziert zu werden, sind nicht stichhaltig. Zwar ist nicht zu verkennen, dass die Beschwerdegegnerin verschiedene Merkmale eines patronalen Wohlfahrtsfonds aufweist: Alleinfinanzierung durch die Stifterfirma, ausschliessliche Vertretung der Stifterfirma im Stiftungsrat, Ergänzung zur voll ausgebauten, registrierten Pensionskasse der Stifterfirma, fehlende Planmässigkeit der Finanzierung und damit der versicherungsmässigen Risikodeckung und Befugnis des Stiftungsrates, die Zusatzrenten-Ordnung im Einvernehmen mit dem Verwaltungsrat der Stifterfirma jederzeit abzuändern. Diese Merkmale beschlagen jedoch allesamt lediglich die Beitrags- und Finanzierungsseite, welche nicht näher reglementiert ist, wie dies für einen rein patronalen Wohlfahrtsfonds charakteristisch ist. Für die Anwendbarkeit u.a. des Rechtsweges nach Art. 73 BVG ist indessen entscheidend, dass die Stiftung Pensionierungsfonds den Destinatären Rechtsansprüche auf (Versicherungs-)Leistungen bei Eintritt versicherter Risiken gewährt und nicht bloss Ermessensleistungen in Aussicht stellt. Der beitragsseitig patronal ausgestaltete Fonds stellt sich somit auf der Leistungsseite als eine nicht registrierte Vorsorgeeinrichtung mit reglementarischen Leistungen im ausserobligatorischen Bereich der beruflichen Vorsorge im engeren Sinne dar. Entscheidendes Abgrenzungskriterium zwischen Einrichtungen mit und solchen ohne Versicherungscharakter ist gerade der Umstand, dass im ersten Fall Rechtsansprüche BGE 117 V 214 S. 218 geschaffen werden, die bei Einrichtungen ohne Versicherungscharakter fehlen (BRÜHWILER, a.a.O., S. 98 f.). d) Da es sich bei der Beschwerdegegnerin nach dem Gesagten um eine im ausserobligatorischen Bereich der beruflichen Vorsorge im engeren Sinne tätige Stiftung mit Versicherungscharakter handelt, ist das Eidg. Versicherungsgericht nach Art. 73 Abs. 4 BVG zur Beurteilung der vorliegenden Streitsache in sachlicher und, da die in Frage stehende Forderung nach dem Inkrafttreten des neuen Rechts entstanden ist, auch in zeitlicher Hinsicht zuständig ( BGE 116 V 220 Erw. 1a, 115 V 247 Erw. 1a, 114 V 34 Erw. 1a).</w:t>
      </w:r>
    </w:p>
    <w:p>
      <w:r>
        <w:rPr>
          <w:b/>
        </w:rPr>
        <w:t>E. 2</w:t>
      </w:r>
    </w:p>
    <w:p>
      <w:r>
        <w:t>Im folgenden ist zu prüfen, ob die Beschwerdegegnerin befugt ist, die Überweisung der Freizügigkeitsleistung an die neue Vorsorgeeinrichtung von striktester Konkurrenzenthaltung seitens des Beschwerdeführers abhängig zu machen. a) Das Rechtsverhältnis zwischen Vorsorgeeinrichtung und Begünstigtem ist im nichtobligatorischen Aufgabenbereich gesetzlich weitgehend ungeregelt geblieben (BRÜHWILER, a.a.O., S. 442). Anwendbar sind lediglich die Art. 89bis Abs. 2 und 5 ZGB , Art. 331a bis c OR und Art. 65 Abs. 1 BVG (RIEMER, Berufliche Vorsorge, S. 101; BRÜHWILER, a.a.O., S. 444). Der Anspruch auf Freizügigkeitsleistung im überobligatorischen Bereich beurteilt sich in erster Linie nach den Art. 331a bis c OR. Denn die in diesen Bestimmungen geregelte Freizügigkeitsordnung gilt generell für den nichtobligatorischen Aufgabenbereich aller Vorsorgeeinrichtungen (vgl. RIEMER, Berufliche Vorsorge, S. 101; BRÜHWILER, a.a.O., S. 257, Anmerkung 54). Art. 331b OR lautet wie folgt: Sind vom Arbeitnehmer und vom Arbeitgeber oder, aufgrund einer Abrede, von diesem allein für fünf oder mehr Jahre Beiträge geleistet worden, so entspricht die Forderung des Arbeitnehmers einem der Anzahl der Beitragsjahre angemessenen Teil des auf den Zeitpunkt der Beendigung des Arbeitsverhältnisses berechneten Deckungskapitals (Abs. 2). Sind für dreissig oder mehr Jahre Beiträge geleistet worden, so entspricht die Forderung des Arbeitnehmers dem gesamten Deckungskapital (Abs. 3). Die Personalfürsorgeeinrichtung legt in ihren Statuten oder in ihrem Reglement die Höhe der Forderung des Arbeitnehmers für die Anzahl Beitragsjahre vom vollendeten fünften bis zum dreissigsten Beitragsjahr fest (Abs. 3bis). Der Anspruch auf Freizügigkeitsleistung aus Arbeitgeberbeiträgen nach fünf Jahren ist unabhängig von einer eigenen Beitragsleistung BGE 117 V 214 S. 219 des Arbeitnehmers, sofern sich der Arbeitgeber aufgrund einer Abrede zu einer patronalen Finanzierung der Vorsorgeeinrichtung bereit erklärt, was insbesondere zutrifft, wenn dem Arbeitnehmer aufgrund eines Reglementes oder sonstwie ein Anspruch auf bestimmte Vorsorgeleistungen zusteht (RIEMER, Berufliche Vorsorge, S. 109, N. 5; HUMMEL, Die Freizügigkeit in der freiwilligen beruflichen Vorsorge, Diss. St. Gallen 1983, S. 133; BJM 1979 S. 136 ff.). b) Die gesetzlichen Freizügigkeitsansprüche sind sowohl nach der BVG- als auch nach der OR-Freizügigkeitsordnung bei Auflösung des Arbeitsvertrages dem Arbeitnehmer vorbehaltlos und zwingend garantiert (vgl. Art. 27/28 in Verbindung mit Art. 6 BVG für das Obligatorium, Art. 331a/331b in Verbindung mit Art. 362 OR für nichtobligatorische Aufgabenbereiche). Das Recht auf die gesetzlichen Freizügigkeitsleistungen besteht unabhängig vom Grund der Beendigung des Arbeitsvertrages, insbesondere auch ungeachtet eines allfälligen Verschuldens des Arbeitnehmers (BRÜHWILER, a.a.O., S. 517; HUMMEL, a.a.O., S. 175). Es geht nicht an, auf dem Wege einer im Gesetz nicht erwähnten Verwirkungsmöglichkeit allfällige Verstösse des Arbeitnehmers gegen den Arbeitsvertrag zu ahnden. Unzulässig wäre denn auch die Reglementsbestimmung einer Vorsorgeeinrichtung, wonach der Arbeitnehmer bei einer fristlosen Entlassung keinen Anspruch auf Freizügigkeitsleistungen aus Arbeitgebermitteln habe. Reglementarische Bestimmungen oder Vereinbarungen einer Vorsorgeeinrichtung haben die zwingenden Minimalvorschriften der BVG- und OR-Freizügigkeitsordnungen zu achten (BRÜHWILER, a.a.O., S. 518). c) Im vorliegenden Fall bestehen aufgrund von Stiftungsurkunde und Zusatzrenten-Ordnung einerseits klare Rechtsansprüche der Destinatäre auf Vorsorgeleistungen. Andererseits hat sich die Stifterfirma zur alleinigen Finanzierung der Zusatzleistungen an die Mitglieder des Kaders bereit erklärt. Beiträge und Zuwendungen erfolgen laut Art. 5 der Stiftungsurkunde zwar "freiwillig" und "je nach Geschäftsgang", aber auch nach den "Bedürfnissen" der Stiftung auf Kapital zur Finanzierung der Leistungen. Darin ist auch eine grundsätzliche Verpflichtung zur Beitragsleistung zu erblicken, deren Modalitäten frei wählbar sind. Damit sind die Voraussetzungen zur Anwendung von Art. 331b Abs. 2 OR erfüllt. Die Zusatzrenten-Ordnung der Stiftung Pensionierungsfonds enthält in Ziff. 3 eine OR-konforme Regelung der Freizügigkeitsleistung BGE 117 V 214 S. 220 mit nach Zugehörigkeitsjahren prozentmässig abgestuften Leistungen ab fünftem Jahr. Falls Ziff. 5 der Zusatzrenten-Ordnung, wonach alle Pensionsleistungen nur unter der Bedingung striktester Konkurrenzenthaltung des Destinatärs ausgerichtet werden, sich im Sinne der Vorbringen der Beschwerdegegnerin auch auf die Freizügigkeitsleistungen nach Ziff. 3 der Zusatzrenten-Ordnung beziehen sollte, verstösst sie gegen Art. 331b Abs. 2 OR , von dem gemäss Art. 362 OR nicht zuungunsten des Arbeitnehmers abgewichen werden darf, und kann daher nicht angewendet werden. Der Beschwerdeführer hat daher Anspruch auf die volle reglementarische Freizügigkeitsleistung, ohne dass geprüft werden müsste, ob die in Ziff. 5 der Zusatzrenten-Ordnung statuierte Konkurrenzklausel auch die Freizügigkeitsleistungen betrifft. Immerhin spricht der Umstand, dass Ziff. 5 der Zusatzrenten-Ordnung unter der Überschrift "Verlust der Rentenberechtigung" ausdrücklich nur den Entzug der Pensionsleistungen bei Verstoss gegen das Konkurrenzverbot regelt, dafür, dass bei Erlass dieses Reglementes nicht beabsichtigt war, den Anspruch auf Freizügigkeitsleistungen von der Konkurrenzenthaltung abhängig zu machen, weil dies gesetzlich unzulässig wäre. Dies deutet darauf hin, dass die Interpretation von Ziff. 5 der Zusatzrenten-Ordnung durch den Beschwerdeführer zutrifft und sich das Konkurrenzverbot nur auf Leistungen bei Eintritt des Versicherungsfalles bezieht. d) Bei der dargestellten Rechtslage braucht nicht entschieden zu werden, ob die Anwendung der Konkurrenzklausel zu einer Umgehung der relativ zwingenden Bestimmungen des Art. 340a OR führt, wonach ein arbeitsvertragliches Konkurrenzverbot vom Richter eingeschränkt werden kann, sowie des Art. 340c Abs. 2 OR , wonach das Konkurrenzverbot dahinfällt, wenn der Arbeitgeber kündigt, ohne dass ihm der Arbeitnehmer begründeten Anlass dazu gegeben hat. Es erscheint jedoch zumindest fraglich, ob es zulässig ist, bei Fehlen eines Konkurrenzverbotes im Arbeitsvertrag ein solches in das Vorsorgereglement aufzunehmen, könnte sich doch der Arbeitgeber in einem solchen Fall über den Entzug von Versicherungsleistungen schadlos halten, ohne dass der ausscheidende Arbeitnehmer die Möglichkeit hätte, das Konkurrenzverbot richterlich überprüfen zu lassen. Damit würde der dem Arbeitnehmer in Art. 340a OR gewährte Schutz vor unbilliger Erschwerung seines wirtschaftlichen Fortkommens in Frage gestellt. BGE 117 V 214 S. 221</w:t>
      </w:r>
    </w:p>
    <w:p>
      <w:r>
        <w:rPr>
          <w:b/>
        </w:rPr>
        <w:t>E. 3</w:t>
      </w:r>
    </w:p>
    <w:p>
      <w:r>
        <w:t>Die von der Beschwerdegegnerin zurückbehaltene Freizügigkeitsleistung in der Höhe von Fr. 136'812.-- war am 1. Juni 1989 fällig. Gemäss Schreiben des Beschwerdeführers vom 30. Mai 1989 stand zu jenem Zeitpunkt sodann auch fest, an welche neue Vorsorgeeinrichtung das Freizügigkeitsguthaben zu überweisen war. Damit sind die Voraussetzungen für die Zusprechung eines Verzugszinses von 5% ab 1. Juni 1989 erfüllt ( BGE 115 V 37 Erw. 8c). Dispositiv Demnach erkennt das Eidg. Versicherungsgericht: In Gutheissung der Verwaltungsgerichtsbeschwerde wird der Entscheid des Verwaltungsgerichts des Kantons Bern vom 24. April 1990 aufgehoben, und die Stiftung Pensionierungsfonds der H. AG wird verpflichtet, zugunsten des Beschwerdeführers an die Angestellten-Pensionskasse der AG S. eine Freizügigkeitsleistung von Fr. 136'812.--, zuzüglich Zins zu 5% seit 1. Juni 1989,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